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AB" w:rsidRDefault="00E5079A" w:rsidP="009444AB">
      <w:pPr>
        <w:spacing w:before="240" w:after="240" w:line="240" w:lineRule="auto"/>
        <w:ind w:left="822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№1 к Решению Собрания депутатов Мясниковского района </w:t>
      </w:r>
    </w:p>
    <w:p w:rsidR="00E5079A" w:rsidRPr="00E5079A" w:rsidRDefault="00C7586D" w:rsidP="00C7586D">
      <w:pPr>
        <w:spacing w:before="240" w:after="2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</w:t>
      </w:r>
      <w:r w:rsidR="00E5079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3.0</w:t>
      </w:r>
      <w:r w:rsidR="00CD131E">
        <w:rPr>
          <w:rFonts w:ascii="Times New Roman" w:hAnsi="Times New Roman" w:cs="Times New Roman"/>
          <w:bCs/>
          <w:sz w:val="28"/>
          <w:szCs w:val="28"/>
        </w:rPr>
        <w:t>6.2</w:t>
      </w:r>
      <w:r>
        <w:rPr>
          <w:rFonts w:ascii="Times New Roman" w:hAnsi="Times New Roman" w:cs="Times New Roman"/>
          <w:bCs/>
          <w:sz w:val="28"/>
          <w:szCs w:val="28"/>
        </w:rPr>
        <w:t>014</w:t>
      </w:r>
      <w:r w:rsidR="009444AB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="00E5079A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9444AB">
        <w:rPr>
          <w:rFonts w:ascii="Times New Roman" w:hAnsi="Times New Roman" w:cs="Times New Roman"/>
          <w:bCs/>
          <w:sz w:val="28"/>
          <w:szCs w:val="28"/>
        </w:rPr>
        <w:t xml:space="preserve"> 198</w:t>
      </w:r>
    </w:p>
    <w:p w:rsidR="00E5079A" w:rsidRDefault="00E5079A" w:rsidP="00CF31E5">
      <w:pPr>
        <w:spacing w:before="240" w:after="24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444C" w:rsidRPr="00CF31E5" w:rsidRDefault="0078444C" w:rsidP="00CF31E5">
      <w:pPr>
        <w:pStyle w:val="a8"/>
        <w:numPr>
          <w:ilvl w:val="0"/>
          <w:numId w:val="3"/>
        </w:numPr>
        <w:tabs>
          <w:tab w:val="left" w:pos="284"/>
        </w:tabs>
        <w:spacing w:before="240" w:after="24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F31E5">
        <w:rPr>
          <w:rFonts w:ascii="Times New Roman" w:hAnsi="Times New Roman" w:cs="Times New Roman"/>
          <w:b/>
          <w:bCs/>
          <w:caps/>
          <w:sz w:val="28"/>
          <w:szCs w:val="28"/>
        </w:rPr>
        <w:t>ЦЕЛИ, ЗАДАЧИ, СРОКИ И ЭТАПЫ РЕАЛИЗАЦИИ ПРОГРАММЫ</w:t>
      </w:r>
    </w:p>
    <w:p w:rsidR="0078444C" w:rsidRPr="000B1E54" w:rsidRDefault="0078444C" w:rsidP="007844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444C" w:rsidRPr="000B1E54" w:rsidRDefault="0078444C" w:rsidP="0078444C">
      <w:pPr>
        <w:pStyle w:val="1"/>
        <w:ind w:right="-1619" w:firstLine="708"/>
        <w:jc w:val="both"/>
        <w:rPr>
          <w:sz w:val="28"/>
          <w:szCs w:val="28"/>
        </w:rPr>
      </w:pPr>
      <w:r w:rsidRPr="000B1E54">
        <w:rPr>
          <w:b/>
          <w:bCs/>
          <w:sz w:val="28"/>
          <w:szCs w:val="28"/>
        </w:rPr>
        <w:t>2.1. Обеспечение темпов экономического роста путем: инвестиционного развития; развития промышленности; развития малого бизнеса; развития сельского хозяйства; развития бюджетной системы; развития инфраструктуры жизнеобеспечения; развития кластерных механизмов; развития логистической системы; устойчивого развития сельских территорий.</w:t>
      </w:r>
    </w:p>
    <w:p w:rsidR="0078444C" w:rsidRPr="000B1E54" w:rsidRDefault="0078444C" w:rsidP="0078444C">
      <w:pPr>
        <w:pStyle w:val="1"/>
        <w:ind w:firstLine="708"/>
        <w:jc w:val="both"/>
        <w:rPr>
          <w:sz w:val="28"/>
          <w:szCs w:val="28"/>
        </w:rPr>
      </w:pPr>
    </w:p>
    <w:tbl>
      <w:tblPr>
        <w:tblW w:w="5631" w:type="pct"/>
        <w:tblInd w:w="-199" w:type="dxa"/>
        <w:tblBorders>
          <w:top w:val="double" w:sz="4" w:space="0" w:color="00B050"/>
          <w:left w:val="double" w:sz="4" w:space="0" w:color="00B050"/>
          <w:bottom w:val="double" w:sz="4" w:space="0" w:color="00B050"/>
          <w:right w:val="double" w:sz="4" w:space="0" w:color="00B050"/>
          <w:insideH w:val="double" w:sz="4" w:space="0" w:color="00B050"/>
          <w:insideV w:val="double" w:sz="4" w:space="0" w:color="00B05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2187"/>
        <w:gridCol w:w="5278"/>
        <w:gridCol w:w="7985"/>
      </w:tblGrid>
      <w:tr w:rsidR="0078444C" w:rsidRPr="000B1E54" w:rsidTr="00B56216">
        <w:trPr>
          <w:tblHeader/>
        </w:trPr>
        <w:tc>
          <w:tcPr>
            <w:tcW w:w="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  <w:shd w:val="clear" w:color="auto" w:fill="92D050"/>
          </w:tcPr>
          <w:p w:rsidR="0078444C" w:rsidRPr="000B1E54" w:rsidRDefault="0078444C" w:rsidP="00B56216">
            <w:pPr>
              <w:pStyle w:val="a6"/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4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  <w:shd w:val="clear" w:color="auto" w:fill="92D050"/>
          </w:tcPr>
          <w:p w:rsidR="0078444C" w:rsidRPr="000B1E54" w:rsidRDefault="0078444C" w:rsidP="00B56216">
            <w:pPr>
              <w:pStyle w:val="a6"/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4">
              <w:rPr>
                <w:rFonts w:ascii="Times New Roman" w:hAnsi="Times New Roman" w:cs="Times New Roman"/>
                <w:sz w:val="28"/>
                <w:szCs w:val="28"/>
              </w:rPr>
              <w:t xml:space="preserve">Ключевые направления (мероприятия) </w:t>
            </w:r>
          </w:p>
        </w:tc>
        <w:tc>
          <w:tcPr>
            <w:tcW w:w="2584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  <w:shd w:val="clear" w:color="auto" w:fill="92D050"/>
          </w:tcPr>
          <w:p w:rsidR="0078444C" w:rsidRPr="000B1E54" w:rsidRDefault="0078444C" w:rsidP="00B56216">
            <w:pPr>
              <w:pStyle w:val="a6"/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4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</w:tr>
      <w:tr w:rsidR="0078444C" w:rsidRPr="000B1E54" w:rsidTr="00B56216">
        <w:trPr>
          <w:trHeight w:val="170"/>
        </w:trPr>
        <w:tc>
          <w:tcPr>
            <w:tcW w:w="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Инвестицион-ное развитие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улучшение инвестиционного климата в районе;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активизация деятельности органов местного самоуправления по привлечению инвесторов;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подготовка муниципальных предприятий к эффективному взаимодействию с инвесторами;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применение механизмов государственно-частного партнерства в сфере инвестиционного развития</w:t>
            </w:r>
          </w:p>
        </w:tc>
        <w:tc>
          <w:tcPr>
            <w:tcW w:w="2584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ежегодная реализация на территории района не менее инвестиционных проектов;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реализация на территории района инвестиционных проектов с применением механизмов государственно-частного партнерства в виде предоставления району межбюджетных трансфертов в форме субсидии в целях софинансирования расходных обязательств, возникающих при создании объектов капитального строительства, в том числе линейных объектов, необходимых для обеспечения присоединения (подключения) объекта капитального строительства, создаваемого (реконструируемого) инвестором, к сетям тепло-, водоснабжения, водоотведения) и подведения к </w:t>
            </w:r>
            <w:r w:rsidRPr="000B1E54">
              <w:rPr>
                <w:sz w:val="28"/>
                <w:szCs w:val="28"/>
              </w:rPr>
              <w:lastRenderedPageBreak/>
              <w:t>границам участка, на котором инвестором создается (реконструируется) объект капитального строительства, объектов транспортной инфраструктуры, в том числе автомобильных дорог общего пользования местного значения, мостов;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индекса физического объема инвестиций 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объема инвестирования по предприятиям агропромышленного комплекса 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уровня инвестиции в объекты образования;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уровня инвестиций в объекты здравоохранения;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ежегодный рост инвестиций субъектов малого предпринимательства  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</w:p>
        </w:tc>
      </w:tr>
      <w:tr w:rsidR="0078444C" w:rsidRPr="000B1E54" w:rsidTr="00B56216">
        <w:trPr>
          <w:trHeight w:val="170"/>
        </w:trPr>
        <w:tc>
          <w:tcPr>
            <w:tcW w:w="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>Развитие промышлен-ности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развитие промышленности  на основе модернизации технической оснащенности предприятий, промышленного комплекса, ориентации на выпуск конкурентоспособной продукции, освоении инновационных технологий и производства инновационной продукции</w:t>
            </w:r>
          </w:p>
        </w:tc>
        <w:tc>
          <w:tcPr>
            <w:tcW w:w="2584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модернизации технической оснащенности максимального количества предприятий, промышленного комплекса;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производства в обрабатывающих видах промышленной деятельности;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индекса промышленного производства;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ежегодное увеличение численности работников в целом по району по крупным и средним предприятиям 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ежегодное увеличение среднемесячной заработной платы работников крупных и средних предприятий;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ежегодное снижение полученных убытков крупными и средними организациями;</w:t>
            </w:r>
          </w:p>
          <w:p w:rsidR="0078444C" w:rsidRPr="000B1E54" w:rsidRDefault="0078444C" w:rsidP="00FB33E3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ежегодное увеличение прибыли прибыльными организациями</w:t>
            </w:r>
          </w:p>
        </w:tc>
      </w:tr>
      <w:tr w:rsidR="0078444C" w:rsidRPr="000B1E54" w:rsidTr="00B56216">
        <w:trPr>
          <w:trHeight w:val="170"/>
        </w:trPr>
        <w:tc>
          <w:tcPr>
            <w:tcW w:w="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Развитие малого </w:t>
            </w:r>
            <w:r w:rsidRPr="000B1E54">
              <w:rPr>
                <w:sz w:val="28"/>
                <w:szCs w:val="28"/>
              </w:rPr>
              <w:lastRenderedPageBreak/>
              <w:t>бизнеса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 xml:space="preserve">минимизация коррупционной </w:t>
            </w:r>
            <w:r w:rsidRPr="000B1E54">
              <w:rPr>
                <w:sz w:val="28"/>
                <w:szCs w:val="28"/>
              </w:rPr>
              <w:lastRenderedPageBreak/>
              <w:t>составляющей;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повышение доступности представителей малого и среднего бизнеса к финансовым ресурсам;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развитие субъектов малого и среднего предпринимательства в целях формирования конкурентной среды в экономике района;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обеспечение благоприятных условий для развития субъектов малого и среднего предпринимательства;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оказание содействия субъектам малого и среднего предпринимательства в продвижении производимых ими товаров (работ, услуг), результатов интеллектуальной деятельности на рынок района, области, страны и рынки иностранных государств;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увеличение количества субъектов малого и среднего предпринимательства;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обеспечение занятости населения и развитие самозанятости;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увеличение доли уплаченных субъектами малого и среднего предпринимательства налогов в налоговых доходах местного бюджет;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>участие представителей субъектов малого и среднего предпринимательства, некоммерческих организаций, выражающих интересы субъектов малого и среднего предпринимательства, в формировании и реализации политики в области развития малого и среднего предпринимательства, экспертизе проектов нормативных правовых актов органов местного самоуправления, регулирующих развитие малого и среднего предпринимательства;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обеспечение равного доступа субъектов малого и среднего предпринимательства к получению поддержки в соответствии с условиями ее предоставления, установленными федеральными программами развития малого и среднего предпринимательства, региональными программами развития малого и среднего предпринимательства и муниципальными программами развития малого и среднего предпринимательства</w:t>
            </w:r>
          </w:p>
        </w:tc>
        <w:tc>
          <w:tcPr>
            <w:tcW w:w="2584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 xml:space="preserve">рост числа субъектов малого и среднего предпринимательства </w:t>
            </w:r>
            <w:r w:rsidRPr="000B1E54">
              <w:rPr>
                <w:sz w:val="28"/>
                <w:szCs w:val="28"/>
              </w:rPr>
              <w:lastRenderedPageBreak/>
              <w:t>(средних предприятий  (1 %    ежегодно), малых  предприятий  (2-3 % ежегодно), микро предприятий  (3-5 % ежегодно));</w:t>
            </w:r>
          </w:p>
          <w:p w:rsidR="0078444C" w:rsidRPr="000B1E54" w:rsidRDefault="00FB33E3" w:rsidP="00B56216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допускать уменьшения объемов финансирования </w:t>
            </w:r>
            <w:r w:rsidR="0078444C" w:rsidRPr="000B1E54">
              <w:rPr>
                <w:sz w:val="28"/>
                <w:szCs w:val="28"/>
              </w:rPr>
              <w:t xml:space="preserve"> муниципальной программы </w:t>
            </w:r>
            <w:r>
              <w:rPr>
                <w:sz w:val="28"/>
                <w:szCs w:val="28"/>
              </w:rPr>
              <w:t>«Экономическое развитие»</w:t>
            </w:r>
            <w:r w:rsidR="0078444C" w:rsidRPr="000B1E54">
              <w:rPr>
                <w:sz w:val="28"/>
                <w:szCs w:val="28"/>
              </w:rPr>
              <w:t xml:space="preserve"> и последующих программ;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официально начисленной среднемесячной заработ</w:t>
            </w:r>
            <w:r w:rsidR="00FB33E3">
              <w:rPr>
                <w:sz w:val="28"/>
                <w:szCs w:val="28"/>
              </w:rPr>
              <w:t>ной платы на малых предприятиях</w:t>
            </w:r>
            <w:r w:rsidRPr="000B1E54">
              <w:rPr>
                <w:sz w:val="28"/>
                <w:szCs w:val="28"/>
              </w:rPr>
              <w:t>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оборота предприятий малого бизнеса;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объема инвестиций в основной капитал малого бизнеса;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ежегодный рост созданных новых рабочих мест субъектами малого бизнеса; 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</w:p>
        </w:tc>
      </w:tr>
      <w:tr w:rsidR="0078444C" w:rsidRPr="000B1E54" w:rsidTr="00B56216">
        <w:trPr>
          <w:trHeight w:val="170"/>
        </w:trPr>
        <w:tc>
          <w:tcPr>
            <w:tcW w:w="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>Развитие сельского хозяйства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внедрение принципов программно-целевого метода управления, которые предусматривают формулирование </w:t>
            </w:r>
            <w:r w:rsidRPr="000B1E54">
              <w:rPr>
                <w:sz w:val="28"/>
                <w:szCs w:val="28"/>
              </w:rPr>
              <w:lastRenderedPageBreak/>
              <w:t>системы целей, задач и ключевых показателей (индикаторов) развития, разработку приоритетных направлений и программных мероприятий, определение необходимых объемов финансирования, распределение бюджетных и внебюджетных ресурсов по целям и задачам;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развитие системы сельской потребительской кооперации;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создание  экономических условий для динамичного развития животноводства, интенсификация процесса воспроизводства стада, внедрение прогрессивных технологий и стимулирование повышения производительности труда в ЛПХ;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строительство новых животноводческих комплексов, молочно-товарных ферм, реконструкция ветхих и переоборудование пустующих построек;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внедрение ресурсо- и энергосберегающих технологий, а также рекомендаций научно-исследовательских институтов по совершенствованию системы земледелия, посредством государственной поддержки данных направлений;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>увеличение производства молока и мяса за счет создания семейных животноводческих ферм на базе фермерских и личных подсобных хозяйств;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перепрофилирование малых форм хозяйствования на альтернативные свиноводству виды животноводства </w:t>
            </w:r>
          </w:p>
        </w:tc>
        <w:tc>
          <w:tcPr>
            <w:tcW w:w="2584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>ежегодное повышен</w:t>
            </w:r>
            <w:r w:rsidR="00FB33E3">
              <w:rPr>
                <w:sz w:val="28"/>
                <w:szCs w:val="28"/>
              </w:rPr>
              <w:t>ие урожайности зерновых культур</w:t>
            </w:r>
            <w:r w:rsidRPr="000B1E54">
              <w:rPr>
                <w:sz w:val="28"/>
                <w:szCs w:val="28"/>
              </w:rPr>
              <w:t>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производства молока;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производства мяса;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>ежегодный рост производства яиц в среднем 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численности работников на предприятиях агропромышленного комплекса;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среднемесячной заработной платы работников агропромышленного комплекса</w:t>
            </w:r>
          </w:p>
        </w:tc>
      </w:tr>
      <w:tr w:rsidR="0078444C" w:rsidRPr="000B1E54" w:rsidTr="00B56216">
        <w:trPr>
          <w:trHeight w:val="170"/>
        </w:trPr>
        <w:tc>
          <w:tcPr>
            <w:tcW w:w="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>Развитие бюджетной системы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разработка и реализация плана мероприятий по повышению эффективности мобилизации налоговых и неналоговых платежей в районный бюджет;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проведение идентификации сведений о земельных участках и их правообладателях для исчисления и сбора земельного налога в бюджет в полном объеме;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принятие мер по сокращению недоимки по отдельным видам доходных источников;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разработка и реализация плана по снижению и ликвидации неэффективных расходов местного бюджета; 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обеспечение принятия сбалансированного бюджета района; 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обеспечение первоочередного финансирования социально-значимых расходов и недопущение образования просроченной кредиторской </w:t>
            </w:r>
            <w:r w:rsidRPr="000B1E54">
              <w:rPr>
                <w:sz w:val="28"/>
                <w:szCs w:val="28"/>
              </w:rPr>
              <w:lastRenderedPageBreak/>
              <w:t>задолженности местного бюджета;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увеличение количества привлекательных объектов для инвестирования;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наращивание налогового потенциала субъектов налоговых отношений без увеличения налогового бремени путем выявления скрытых налогоплательщиков</w:t>
            </w:r>
          </w:p>
        </w:tc>
        <w:tc>
          <w:tcPr>
            <w:tcW w:w="2584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>ежегодное исполнение консолидированного бюджета района по доходам 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ежегодное исполнение собственных налоговых и неналоговых доходов;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ежегодное исполнение консолидированного бюджета района по расходам .</w:t>
            </w:r>
          </w:p>
          <w:p w:rsidR="0078444C" w:rsidRPr="000B1E54" w:rsidRDefault="0078444C" w:rsidP="00B56216">
            <w:pPr>
              <w:pStyle w:val="1"/>
              <w:ind w:firstLine="708"/>
              <w:jc w:val="both"/>
              <w:rPr>
                <w:sz w:val="28"/>
                <w:szCs w:val="28"/>
              </w:rPr>
            </w:pPr>
          </w:p>
        </w:tc>
      </w:tr>
      <w:tr w:rsidR="0078444C" w:rsidRPr="000B1E54" w:rsidTr="00B56216">
        <w:trPr>
          <w:trHeight w:val="170"/>
        </w:trPr>
        <w:tc>
          <w:tcPr>
            <w:tcW w:w="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>Развитие инфраструк-туры жизнеобеспечения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выработка единой системы и механизмов  модернизации объектов инфраструктуры жизнеобеспечения района, предоставление коммунальных услуг, включающих разработку и утверждение необходимых документов</w:t>
            </w:r>
          </w:p>
        </w:tc>
        <w:tc>
          <w:tcPr>
            <w:tcW w:w="2584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ежегодная модернизация в теплоэнергетическом комплексе  оборудования  и сетей инженерной инфраструктуры предприятий;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ежегодное снижение расхода первичных энергоресурсов по газу и электроэнергии;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ежегодное достижение нормативной потребности финансирования дорожных работ с учетом обеспечения межремонтных сроков;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ежегодный рост уровня инвестиций в сферу инфраструктуры жизнеобеспечения; </w:t>
            </w:r>
          </w:p>
          <w:p w:rsidR="0078444C" w:rsidRPr="000B1E54" w:rsidRDefault="0078444C" w:rsidP="00FB33E3">
            <w:pPr>
              <w:jc w:val="both"/>
              <w:rPr>
                <w:rStyle w:val="200"/>
                <w:rFonts w:ascii="Times New Roman" w:hAnsi="Times New Roman"/>
                <w:b w:val="0"/>
                <w:sz w:val="28"/>
                <w:szCs w:val="28"/>
              </w:rPr>
            </w:pPr>
            <w:r w:rsidRPr="000B1E54">
              <w:rPr>
                <w:rFonts w:ascii="Times New Roman" w:hAnsi="Times New Roman" w:cs="Times New Roman"/>
                <w:sz w:val="28"/>
                <w:szCs w:val="28"/>
              </w:rPr>
              <w:t>ежегодный рост уровня удовлетворенности населения жилищно-коммунальными услугами</w:t>
            </w:r>
          </w:p>
        </w:tc>
      </w:tr>
      <w:tr w:rsidR="0078444C" w:rsidRPr="000B1E54" w:rsidTr="00B56216">
        <w:trPr>
          <w:trHeight w:val="170"/>
        </w:trPr>
        <w:tc>
          <w:tcPr>
            <w:tcW w:w="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Развитие кластерных механизмов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формирование конкурентоспособных кластеров</w:t>
            </w:r>
            <w:r w:rsidRPr="000B1E54">
              <w:rPr>
                <w:rStyle w:val="a3"/>
                <w:sz w:val="28"/>
                <w:szCs w:val="28"/>
              </w:rPr>
              <w:footnoteReference w:id="2"/>
            </w:r>
            <w:r w:rsidRPr="000B1E54">
              <w:rPr>
                <w:sz w:val="28"/>
                <w:szCs w:val="28"/>
              </w:rPr>
              <w:t xml:space="preserve">, при создании которых необходимо осуществить оценку </w:t>
            </w:r>
            <w:r w:rsidRPr="000B1E54">
              <w:rPr>
                <w:sz w:val="28"/>
                <w:szCs w:val="28"/>
              </w:rPr>
              <w:lastRenderedPageBreak/>
              <w:t>транспортных путей района, объемов грузоперевозок, возможные региональные и международные связи</w:t>
            </w:r>
          </w:p>
        </w:tc>
        <w:tc>
          <w:tcPr>
            <w:tcW w:w="2584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>создание агропромышленного кластера;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создание транспортно-логистического кластера</w:t>
            </w:r>
          </w:p>
        </w:tc>
      </w:tr>
      <w:tr w:rsidR="0078444C" w:rsidRPr="000B1E54" w:rsidTr="00B56216">
        <w:trPr>
          <w:trHeight w:val="170"/>
        </w:trPr>
        <w:tc>
          <w:tcPr>
            <w:tcW w:w="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>Развитие логистической системы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повышение уровня интермодальности перевозок, комплексности предоставления логистических услуг</w:t>
            </w:r>
            <w:r w:rsidRPr="000B1E54">
              <w:rPr>
                <w:rStyle w:val="a3"/>
                <w:b/>
                <w:bCs/>
                <w:sz w:val="28"/>
                <w:szCs w:val="28"/>
              </w:rPr>
              <w:footnoteReference w:id="3"/>
            </w:r>
            <w:r w:rsidRPr="000B1E54">
              <w:rPr>
                <w:sz w:val="28"/>
                <w:szCs w:val="28"/>
              </w:rPr>
              <w:t xml:space="preserve">; 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развитие складских комплексов, логистических терминалов и парков</w:t>
            </w:r>
            <w:r w:rsidRPr="000B1E54">
              <w:rPr>
                <w:rStyle w:val="a3"/>
                <w:b/>
                <w:bCs/>
                <w:sz w:val="28"/>
                <w:szCs w:val="28"/>
              </w:rPr>
              <w:footnoteReference w:id="4"/>
            </w:r>
            <w:r w:rsidRPr="000B1E54">
              <w:rPr>
                <w:sz w:val="28"/>
                <w:szCs w:val="28"/>
              </w:rPr>
              <w:t xml:space="preserve">; 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приведение транспортно-эксплуатационных показателей существующей сети автомобильных дорог в соответствие с интенсивностью движения;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выполнение работ, обеспечивающих </w:t>
            </w:r>
            <w:r w:rsidRPr="000B1E54">
              <w:rPr>
                <w:sz w:val="28"/>
                <w:szCs w:val="28"/>
              </w:rPr>
              <w:lastRenderedPageBreak/>
              <w:t>перевод дорог с переходным типом покрытия в усовершенствованное и уменьшение доли грунтовых дорог за счет устройства на них переходных и усовершенствованных типов покрытий;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совершенствование технических средств организации дорожного движения на существующей сети автомобильных дорог общего пользования;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приведение в нормативное состояние автомобильных дорог местного значения</w:t>
            </w:r>
          </w:p>
        </w:tc>
        <w:tc>
          <w:tcPr>
            <w:tcW w:w="2584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>использование выгодного территориального расположения и наличие транспортной инфраструктуры для привлечения на территорию района крупных инвесторов, в том числе  организаций логистического направления;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разработка инвестиционных проектов по созданию транспортно-логистического кластера, объединяющего транспортные пути города, оценку объемов грузоперевозок, возможные региональные и международные связи;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выполнение необходимых мероприятий по определению точного местоположения и отводу земель под центры транспорта и логистики; 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>строительство 4-5 логистических центров на территории района;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привлечение 2-3  крупных логистических операторов, в том числе международных, для управления комплексами; 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</w:p>
        </w:tc>
      </w:tr>
      <w:tr w:rsidR="0078444C" w:rsidRPr="000B1E54" w:rsidTr="00B56216">
        <w:trPr>
          <w:trHeight w:val="170"/>
        </w:trPr>
        <w:tc>
          <w:tcPr>
            <w:tcW w:w="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>Устойчивое развитие сельских территорий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обеспечение сельского населения жильем;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восстановление и наращивание потенциала социальной и инженерной инфраструктуры села</w:t>
            </w:r>
          </w:p>
        </w:tc>
        <w:tc>
          <w:tcPr>
            <w:tcW w:w="2584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реализация комплексной  компактной застройки и благоустройства сельских поселений в рамках пилотных проектов;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повышение уровня и качества водо-, электро- и газоснабжения, обеспечение развития телефонной и телекоммуникационной связи, расширение сети сельских автомобильных дорог с твердым покрытием и их благоустройство и т.п.</w:t>
            </w:r>
          </w:p>
        </w:tc>
      </w:tr>
    </w:tbl>
    <w:p w:rsidR="0078444C" w:rsidRPr="000B1E54" w:rsidRDefault="0078444C" w:rsidP="0078444C">
      <w:pPr>
        <w:pStyle w:val="1"/>
        <w:ind w:firstLine="708"/>
        <w:jc w:val="both"/>
        <w:rPr>
          <w:sz w:val="28"/>
          <w:szCs w:val="28"/>
        </w:rPr>
      </w:pPr>
    </w:p>
    <w:p w:rsidR="0078444C" w:rsidRPr="000B1E54" w:rsidRDefault="0078444C" w:rsidP="0078444C">
      <w:pPr>
        <w:pStyle w:val="1"/>
        <w:ind w:firstLine="708"/>
        <w:jc w:val="both"/>
        <w:rPr>
          <w:sz w:val="28"/>
          <w:szCs w:val="28"/>
        </w:rPr>
      </w:pPr>
    </w:p>
    <w:p w:rsidR="0078444C" w:rsidRPr="000B1E54" w:rsidRDefault="0078444C" w:rsidP="0078444C">
      <w:pPr>
        <w:pStyle w:val="1"/>
        <w:ind w:firstLine="708"/>
        <w:jc w:val="both"/>
        <w:rPr>
          <w:sz w:val="28"/>
          <w:szCs w:val="28"/>
        </w:rPr>
      </w:pPr>
    </w:p>
    <w:p w:rsidR="0078444C" w:rsidRPr="000B1E54" w:rsidRDefault="0078444C" w:rsidP="0078444C">
      <w:pPr>
        <w:pStyle w:val="1"/>
        <w:ind w:firstLine="708"/>
        <w:jc w:val="both"/>
        <w:rPr>
          <w:sz w:val="28"/>
          <w:szCs w:val="28"/>
        </w:rPr>
      </w:pPr>
    </w:p>
    <w:p w:rsidR="0078444C" w:rsidRPr="000B1E54" w:rsidRDefault="0078444C" w:rsidP="0078444C">
      <w:pPr>
        <w:pStyle w:val="1"/>
        <w:ind w:firstLine="708"/>
        <w:jc w:val="both"/>
        <w:rPr>
          <w:sz w:val="28"/>
          <w:szCs w:val="28"/>
        </w:rPr>
      </w:pPr>
    </w:p>
    <w:p w:rsidR="0078444C" w:rsidRPr="000B1E54" w:rsidRDefault="0078444C" w:rsidP="0078444C">
      <w:pPr>
        <w:pStyle w:val="1"/>
        <w:ind w:right="-1619" w:firstLine="708"/>
        <w:jc w:val="both"/>
        <w:rPr>
          <w:b/>
          <w:bCs/>
          <w:spacing w:val="2"/>
          <w:sz w:val="28"/>
          <w:szCs w:val="28"/>
        </w:rPr>
      </w:pPr>
      <w:r w:rsidRPr="000B1E54">
        <w:rPr>
          <w:b/>
          <w:bCs/>
          <w:sz w:val="28"/>
          <w:szCs w:val="28"/>
        </w:rPr>
        <w:t xml:space="preserve">2.2 Повышение материального благосостояния и обеспечение благоприятных условий жизни населения Мясниковского района, в том числе: рост денежных доходов населения; развитие и доступность услуг здравоохранения; развитие образования; </w:t>
      </w:r>
      <w:r w:rsidRPr="000B1E54">
        <w:rPr>
          <w:b/>
          <w:bCs/>
          <w:spacing w:val="2"/>
          <w:sz w:val="28"/>
          <w:szCs w:val="28"/>
        </w:rPr>
        <w:t>удовлетворенность социальным обеспечением.</w:t>
      </w:r>
    </w:p>
    <w:p w:rsidR="0078444C" w:rsidRPr="000B1E54" w:rsidRDefault="0078444C" w:rsidP="0078444C">
      <w:pPr>
        <w:pStyle w:val="1"/>
        <w:ind w:firstLine="708"/>
        <w:jc w:val="both"/>
        <w:rPr>
          <w:b/>
          <w:bCs/>
          <w:spacing w:val="2"/>
          <w:sz w:val="28"/>
          <w:szCs w:val="28"/>
        </w:rPr>
      </w:pPr>
    </w:p>
    <w:tbl>
      <w:tblPr>
        <w:tblW w:w="5579" w:type="pct"/>
        <w:tblInd w:w="85" w:type="dxa"/>
        <w:tblBorders>
          <w:top w:val="double" w:sz="4" w:space="0" w:color="00B050"/>
          <w:left w:val="double" w:sz="4" w:space="0" w:color="00B050"/>
          <w:bottom w:val="double" w:sz="4" w:space="0" w:color="00B050"/>
          <w:right w:val="double" w:sz="4" w:space="0" w:color="00B050"/>
          <w:insideH w:val="double" w:sz="4" w:space="0" w:color="00B050"/>
          <w:insideV w:val="double" w:sz="4" w:space="0" w:color="00B05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2330"/>
        <w:gridCol w:w="5229"/>
        <w:gridCol w:w="7749"/>
      </w:tblGrid>
      <w:tr w:rsidR="0078444C" w:rsidRPr="000B1E54" w:rsidTr="004064AF">
        <w:trPr>
          <w:tblHeader/>
        </w:trPr>
        <w:tc>
          <w:tcPr>
            <w:tcW w:w="76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  <w:shd w:val="clear" w:color="auto" w:fill="92D050"/>
          </w:tcPr>
          <w:p w:rsidR="0078444C" w:rsidRPr="000B1E54" w:rsidRDefault="0078444C" w:rsidP="00B56216">
            <w:pPr>
              <w:pStyle w:val="a6"/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  <w:shd w:val="clear" w:color="auto" w:fill="92D050"/>
          </w:tcPr>
          <w:p w:rsidR="0078444C" w:rsidRPr="000B1E54" w:rsidRDefault="0078444C" w:rsidP="00B56216">
            <w:pPr>
              <w:pStyle w:val="a6"/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4">
              <w:rPr>
                <w:rFonts w:ascii="Times New Roman" w:hAnsi="Times New Roman" w:cs="Times New Roman"/>
                <w:sz w:val="28"/>
                <w:szCs w:val="28"/>
              </w:rPr>
              <w:t>Ключевые направления (мероприятия)</w:t>
            </w:r>
          </w:p>
        </w:tc>
        <w:tc>
          <w:tcPr>
            <w:tcW w:w="253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  <w:shd w:val="clear" w:color="auto" w:fill="92D050"/>
          </w:tcPr>
          <w:p w:rsidR="0078444C" w:rsidRPr="000B1E54" w:rsidRDefault="0078444C" w:rsidP="00B56216">
            <w:pPr>
              <w:pStyle w:val="a6"/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4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</w:tr>
      <w:tr w:rsidR="0078444C" w:rsidRPr="000B1E54" w:rsidTr="004064AF">
        <w:trPr>
          <w:trHeight w:val="170"/>
        </w:trPr>
        <w:tc>
          <w:tcPr>
            <w:tcW w:w="76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Рост денежных доходов населения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обеспечение минимальной заработной платы на уровне прожиточного минимума;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ликвидация «серых схем» выплаты заработной платы;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рост числа организаций, присоединившихся к трехстороннему соглашению о социальном партнерстве</w:t>
            </w:r>
          </w:p>
        </w:tc>
        <w:tc>
          <w:tcPr>
            <w:tcW w:w="253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уровня оплаты труда работников социальной сферы;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повышение соотношения средней заработной платы работника бюджетной сферы к средней заработной плате в экономике;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ликвидация существующих диспропорций в уровне оплаты труда между различными секторами экономики и муниципальными образованиями в районе</w:t>
            </w:r>
          </w:p>
        </w:tc>
      </w:tr>
      <w:tr w:rsidR="0078444C" w:rsidRPr="000B1E54" w:rsidTr="004064AF">
        <w:trPr>
          <w:trHeight w:val="170"/>
        </w:trPr>
        <w:tc>
          <w:tcPr>
            <w:tcW w:w="5000" w:type="pct"/>
            <w:gridSpan w:val="3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pacing w:val="2"/>
                <w:sz w:val="28"/>
                <w:szCs w:val="28"/>
              </w:rPr>
            </w:pPr>
            <w:r w:rsidRPr="000B1E54">
              <w:rPr>
                <w:spacing w:val="2"/>
                <w:sz w:val="28"/>
                <w:szCs w:val="28"/>
              </w:rPr>
              <w:t>Удовлетворенность социальным обеспечением</w:t>
            </w:r>
          </w:p>
        </w:tc>
      </w:tr>
      <w:tr w:rsidR="0078444C" w:rsidRPr="000B1E54" w:rsidTr="004064AF">
        <w:trPr>
          <w:trHeight w:val="170"/>
        </w:trPr>
        <w:tc>
          <w:tcPr>
            <w:tcW w:w="76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pacing w:val="2"/>
                <w:sz w:val="28"/>
                <w:szCs w:val="28"/>
              </w:rPr>
            </w:pPr>
            <w:r w:rsidRPr="000B1E54">
              <w:rPr>
                <w:spacing w:val="2"/>
                <w:sz w:val="28"/>
                <w:szCs w:val="28"/>
              </w:rPr>
              <w:t>Здравоохране-ние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повышение обеспеченности врачами и увеличение качества медицинских услуг;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улучшение обеспечения муниципальных учреждений здравоохранения квалифицированными медицинскими кадрами путем первичной подготовки, переподготовки и повышения профессиональной квалификации;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повышение уровня заработной платы  среднему медицинскому персоналу скорой медицинской помощи и фельдшерско-акушерских пунктов;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укрепление материально-технической базы</w:t>
            </w:r>
          </w:p>
        </w:tc>
        <w:tc>
          <w:tcPr>
            <w:tcW w:w="253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общее развитие системы профилактики заболеваний; обеспечение сбалансированности объемов государственных гарантий бесплатной медицинской помощи с имеющимися финансовыми ресурсами, в том числе за счет роста добровольного медицинского страхования;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обновление необходимой материально-технической базы МБУЗ «ЦРБ»;</w:t>
            </w:r>
          </w:p>
          <w:p w:rsidR="0078444C" w:rsidRPr="000B1E54" w:rsidRDefault="0078444C" w:rsidP="003763CA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уровня удовлетворенности населения медицинской помощью</w:t>
            </w:r>
          </w:p>
        </w:tc>
      </w:tr>
      <w:tr w:rsidR="0078444C" w:rsidRPr="000B1E54" w:rsidTr="004064AF">
        <w:trPr>
          <w:trHeight w:val="170"/>
        </w:trPr>
        <w:tc>
          <w:tcPr>
            <w:tcW w:w="76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pacing w:val="2"/>
                <w:sz w:val="28"/>
                <w:szCs w:val="28"/>
              </w:rPr>
            </w:pPr>
            <w:r w:rsidRPr="000B1E54">
              <w:rPr>
                <w:spacing w:val="2"/>
                <w:sz w:val="28"/>
                <w:szCs w:val="28"/>
              </w:rPr>
              <w:t>Образование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оптимизация сети образовательных учреждений;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укрепление материально-технической базы образовательных учреждений;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>создание условий для введения федеральных государственных образовательных стандартов нового поколения;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создание оптимальных условий для сохранения здоровья детей, выявления и поддержки талантливых детей, социальной поддержки детей – сирот и детей, оставшихся без попечения родителей;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создание условий для обеспечения системы образования высококвалифицированными педагогическими кадрами;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обеспечение гарантий получения доступного качественного общего образования в соответствии с требованиями федеральных государственных образовательных стандартов общего образования;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внедрение новых образовательных технологий и принципов организации учебного процесса, в том числе с использованием современных информационных и коммуникационных технологий</w:t>
            </w:r>
          </w:p>
        </w:tc>
        <w:tc>
          <w:tcPr>
            <w:tcW w:w="253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  <w:lang w:eastAsia="en-US"/>
              </w:rPr>
              <w:lastRenderedPageBreak/>
              <w:t>повышение уровня благоустройства поселковых школ;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  <w:lang w:eastAsia="en-US"/>
              </w:rPr>
              <w:t>обеспечение современным оборудованием, компьютерной и демонстрационной техникой, учебными пособиями;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  <w:lang w:eastAsia="en-US"/>
              </w:rPr>
              <w:t xml:space="preserve">доведение до минимального уровня аварийности </w:t>
            </w:r>
            <w:r w:rsidRPr="000B1E54">
              <w:rPr>
                <w:sz w:val="28"/>
                <w:szCs w:val="28"/>
                <w:lang w:eastAsia="en-US"/>
              </w:rPr>
              <w:lastRenderedPageBreak/>
              <w:t>образовательных учреждений;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достижение социального норматива по охвату детей местами в детских дошкольных учреждениях (70% от числа детей дошкольного возраста);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достижение 100% обеспеченности потребностей образовательных учреждений в транспортном обслуживании;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создание сезонных рабочих мест на общественные работы по обслуживанию детского отдыха, повышение уровня занятости населения, укрепление здоровья детей и подростков, снижение детской преступности;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оснащение кнопками тревожной сигнализации общеобразовательных учреждений на 100 %;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ежегодный рост уровня удовлетворенности населения качеством дошкольным образованием 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ежегодный рост уровня удовлетворенности населения качеством общего образованием 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</w:p>
        </w:tc>
      </w:tr>
      <w:tr w:rsidR="0078444C" w:rsidRPr="000B1E54" w:rsidTr="004064AF">
        <w:trPr>
          <w:trHeight w:val="170"/>
        </w:trPr>
        <w:tc>
          <w:tcPr>
            <w:tcW w:w="76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pacing w:val="2"/>
                <w:sz w:val="28"/>
                <w:szCs w:val="28"/>
              </w:rPr>
            </w:pPr>
            <w:r w:rsidRPr="000B1E54">
              <w:rPr>
                <w:spacing w:val="2"/>
                <w:sz w:val="28"/>
                <w:szCs w:val="28"/>
              </w:rPr>
              <w:lastRenderedPageBreak/>
              <w:t>Культура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сокращение износа материально-технической базы учреждений культуры </w:t>
            </w:r>
            <w:r w:rsidRPr="000B1E54">
              <w:rPr>
                <w:sz w:val="28"/>
                <w:szCs w:val="28"/>
              </w:rPr>
              <w:lastRenderedPageBreak/>
              <w:t>района;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укомплектование библиотечных фондов согласно социальным нормативам;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ликвидация текучести кадров учреждений культуры и дополнительного образования;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обеспечение соответствующей подготовки клубных работников</w:t>
            </w:r>
          </w:p>
        </w:tc>
        <w:tc>
          <w:tcPr>
            <w:tcW w:w="253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  <w:lang w:eastAsia="en-US"/>
              </w:rPr>
              <w:lastRenderedPageBreak/>
              <w:t xml:space="preserve">оптимизация затрат на проведение проектов по организации культурно-досуговых мероприятий и повышение их социальной </w:t>
            </w:r>
            <w:r w:rsidRPr="000B1E54">
              <w:rPr>
                <w:sz w:val="28"/>
                <w:szCs w:val="28"/>
                <w:lang w:eastAsia="en-US"/>
              </w:rPr>
              <w:lastRenderedPageBreak/>
              <w:t>эффективности;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  <w:lang w:eastAsia="en-US"/>
              </w:rPr>
              <w:t>создание современных условий для проведения культмассовых мероприятий в поселковых территориях, развитие кружковой работы, художественной самодеятельности среди всех категорий населения;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  <w:lang w:eastAsia="en-US"/>
              </w:rPr>
              <w:t>развитие потребительского сегмента – кинопроката;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  <w:lang w:eastAsia="en-US"/>
              </w:rPr>
              <w:t>улучшение условий и повышение качества предоставления библиотечных услуг;</w:t>
            </w:r>
          </w:p>
          <w:p w:rsidR="0078444C" w:rsidRPr="000B1E54" w:rsidRDefault="0078444C" w:rsidP="003763CA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ежегодный рост уровня удовлетворенности населения качеством культурно-досуговых мероприятий </w:t>
            </w:r>
          </w:p>
        </w:tc>
      </w:tr>
      <w:tr w:rsidR="0078444C" w:rsidRPr="000B1E54" w:rsidTr="004064AF">
        <w:trPr>
          <w:trHeight w:val="170"/>
        </w:trPr>
        <w:tc>
          <w:tcPr>
            <w:tcW w:w="76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pacing w:val="2"/>
                <w:sz w:val="28"/>
                <w:szCs w:val="28"/>
              </w:rPr>
            </w:pPr>
            <w:r w:rsidRPr="000B1E54">
              <w:rPr>
                <w:spacing w:val="2"/>
                <w:sz w:val="28"/>
                <w:szCs w:val="28"/>
              </w:rPr>
              <w:lastRenderedPageBreak/>
              <w:t>Физическая культура и спорт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повышение обеспеченности спортивными сооружениями;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пропаганда физической культуры и спорта в средствах массовой информации; 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развитие системы физической культуры и спорта среди людей с ограниченными возможностями;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вовлечение в процесс занятий физической культуры и спорта  детей и подростков из малообеспеченных семей;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разработка и внедрение механизмов по обеспечению учреждений спортивной направленности инновационными технологиями</w:t>
            </w:r>
          </w:p>
        </w:tc>
        <w:tc>
          <w:tcPr>
            <w:tcW w:w="253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  <w:lang w:eastAsia="en-US"/>
              </w:rPr>
              <w:t>создание благоприятной среды для жизни детей и подростков;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  <w:lang w:eastAsia="en-US"/>
              </w:rPr>
              <w:t>повышение привлекательности здорового образа жизни для детей, подростков и молодежи;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  <w:lang w:eastAsia="en-US"/>
              </w:rPr>
              <w:t>привлечение малого бизнеса к формированию культуры оздоровления, развития потребительских предпочтений у населения по отношению к услугам спортивного и оздоровительного характера;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  <w:lang w:eastAsia="en-US"/>
              </w:rPr>
              <w:t>проведение культурно-массовых и спортивно-зрелищных мероприятий, соревнований и праздников;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  <w:lang w:eastAsia="en-US"/>
              </w:rPr>
              <w:t>проведение оздоровительных мероприятий на платной и бесплатной основе для всех возрастных групп населения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</w:p>
        </w:tc>
      </w:tr>
      <w:tr w:rsidR="0078444C" w:rsidRPr="000B1E54" w:rsidTr="004064AF">
        <w:trPr>
          <w:trHeight w:val="170"/>
        </w:trPr>
        <w:tc>
          <w:tcPr>
            <w:tcW w:w="76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pacing w:val="2"/>
                <w:sz w:val="28"/>
                <w:szCs w:val="28"/>
              </w:rPr>
            </w:pPr>
            <w:r w:rsidRPr="000B1E54">
              <w:rPr>
                <w:spacing w:val="2"/>
                <w:sz w:val="28"/>
                <w:szCs w:val="28"/>
              </w:rPr>
              <w:t xml:space="preserve">Социальная </w:t>
            </w:r>
            <w:r w:rsidRPr="000B1E54">
              <w:rPr>
                <w:spacing w:val="2"/>
                <w:sz w:val="28"/>
                <w:szCs w:val="28"/>
              </w:rPr>
              <w:lastRenderedPageBreak/>
              <w:t>защита населения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развитие системы качественного </w:t>
            </w:r>
            <w:r w:rsidRPr="000B1E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 государственных и муниципальных услуг;</w:t>
            </w:r>
          </w:p>
          <w:p w:rsidR="0078444C" w:rsidRPr="000B1E54" w:rsidRDefault="0078444C" w:rsidP="00B562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4">
              <w:rPr>
                <w:rFonts w:ascii="Times New Roman" w:hAnsi="Times New Roman" w:cs="Times New Roman"/>
                <w:sz w:val="28"/>
                <w:szCs w:val="28"/>
              </w:rPr>
              <w:t>- развитие системы межведомственного электронного обмена;</w:t>
            </w:r>
          </w:p>
          <w:p w:rsidR="0078444C" w:rsidRPr="000B1E54" w:rsidRDefault="0078444C" w:rsidP="00B562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4">
              <w:rPr>
                <w:rFonts w:ascii="Times New Roman" w:hAnsi="Times New Roman" w:cs="Times New Roman"/>
                <w:sz w:val="28"/>
                <w:szCs w:val="28"/>
              </w:rPr>
              <w:t>- развитие сети МФЦ;</w:t>
            </w:r>
          </w:p>
          <w:p w:rsidR="0078444C" w:rsidRPr="000B1E54" w:rsidRDefault="0078444C" w:rsidP="00B562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4">
              <w:rPr>
                <w:rFonts w:ascii="Times New Roman" w:hAnsi="Times New Roman" w:cs="Times New Roman"/>
                <w:sz w:val="28"/>
                <w:szCs w:val="28"/>
              </w:rPr>
              <w:t>- организация системы сестринского ухода за пожилыми людьми и инвалидами;</w:t>
            </w:r>
          </w:p>
          <w:p w:rsidR="0078444C" w:rsidRPr="000B1E54" w:rsidRDefault="0078444C" w:rsidP="00B562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4">
              <w:rPr>
                <w:rFonts w:ascii="Times New Roman" w:hAnsi="Times New Roman" w:cs="Times New Roman"/>
                <w:sz w:val="28"/>
                <w:szCs w:val="28"/>
              </w:rPr>
              <w:t>- реализация муниципальных долгосрочных целевых программ на территории района;</w:t>
            </w:r>
          </w:p>
          <w:p w:rsidR="0078444C" w:rsidRPr="000B1E54" w:rsidRDefault="0078444C" w:rsidP="00B562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4">
              <w:rPr>
                <w:rFonts w:ascii="Times New Roman" w:hAnsi="Times New Roman" w:cs="Times New Roman"/>
                <w:sz w:val="28"/>
                <w:szCs w:val="28"/>
              </w:rPr>
              <w:t>- ремонт объектов социальной защиты населения района</w:t>
            </w:r>
          </w:p>
        </w:tc>
        <w:tc>
          <w:tcPr>
            <w:tcW w:w="253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  <w:lang w:eastAsia="en-US"/>
              </w:rPr>
            </w:pPr>
            <w:r w:rsidRPr="000B1E54">
              <w:rPr>
                <w:sz w:val="28"/>
                <w:szCs w:val="28"/>
                <w:lang w:eastAsia="en-US"/>
              </w:rPr>
              <w:lastRenderedPageBreak/>
              <w:t xml:space="preserve">рост качества предоставления государственных и </w:t>
            </w:r>
            <w:r w:rsidRPr="000B1E54">
              <w:rPr>
                <w:sz w:val="28"/>
                <w:szCs w:val="28"/>
                <w:lang w:eastAsia="en-US"/>
              </w:rPr>
              <w:lastRenderedPageBreak/>
              <w:t>муниципальных услуг;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  <w:lang w:eastAsia="en-US"/>
              </w:rPr>
            </w:pPr>
            <w:r w:rsidRPr="000B1E54">
              <w:rPr>
                <w:sz w:val="28"/>
                <w:szCs w:val="28"/>
                <w:lang w:eastAsia="en-US"/>
              </w:rPr>
              <w:t>повышение удовлетворенности населения качеством и полнотой предоставления государственных и муниципальных услуг;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  <w:lang w:eastAsia="en-US"/>
              </w:rPr>
            </w:pPr>
            <w:r w:rsidRPr="000B1E54">
              <w:rPr>
                <w:sz w:val="28"/>
                <w:szCs w:val="28"/>
                <w:lang w:eastAsia="en-US"/>
              </w:rPr>
              <w:t>модернизация объектов и технологий социальной защиты населения</w:t>
            </w:r>
          </w:p>
        </w:tc>
      </w:tr>
      <w:tr w:rsidR="0078444C" w:rsidRPr="000B1E54" w:rsidTr="004064AF">
        <w:trPr>
          <w:trHeight w:val="170"/>
        </w:trPr>
        <w:tc>
          <w:tcPr>
            <w:tcW w:w="76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pacing w:val="2"/>
                <w:sz w:val="28"/>
                <w:szCs w:val="28"/>
              </w:rPr>
            </w:pPr>
            <w:r w:rsidRPr="000B1E54">
              <w:rPr>
                <w:spacing w:val="2"/>
                <w:sz w:val="28"/>
                <w:szCs w:val="28"/>
              </w:rPr>
              <w:lastRenderedPageBreak/>
              <w:t xml:space="preserve">Экология 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 xml:space="preserve">внедрение комплексного подхода к природопользованию, его ориентация на цели устойчивого развития, включая экологически обоснованные методы использования минеральных, земельных, водных, лесных и других ресурсов региона; 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совершенствование материально-</w:t>
            </w:r>
            <w:r w:rsidRPr="000B1E54">
              <w:rPr>
                <w:sz w:val="28"/>
                <w:szCs w:val="28"/>
              </w:rPr>
              <w:lastRenderedPageBreak/>
              <w:t>технической оснащенности системы экологического мониторинга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</w:p>
        </w:tc>
        <w:tc>
          <w:tcPr>
            <w:tcW w:w="253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lastRenderedPageBreak/>
              <w:t xml:space="preserve">развитие и внедрение ресурсосберегающих и безотходных технологий; 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color w:val="000000"/>
                <w:sz w:val="28"/>
                <w:szCs w:val="28"/>
              </w:rPr>
              <w:t>формирование бренда экологической сельскохозяйственной продукции и продукции детского питания;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color w:val="000000"/>
                <w:sz w:val="28"/>
                <w:szCs w:val="28"/>
              </w:rPr>
              <w:t>максимальное уменьшение ухудшения экологической ситуации в регионе в результате развития промышленности</w:t>
            </w:r>
          </w:p>
        </w:tc>
      </w:tr>
      <w:tr w:rsidR="0078444C" w:rsidRPr="000B1E54" w:rsidTr="004064AF">
        <w:trPr>
          <w:trHeight w:val="170"/>
        </w:trPr>
        <w:tc>
          <w:tcPr>
            <w:tcW w:w="76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pacing w:val="2"/>
                <w:sz w:val="28"/>
                <w:szCs w:val="28"/>
              </w:rPr>
            </w:pPr>
            <w:r w:rsidRPr="000B1E54">
              <w:rPr>
                <w:spacing w:val="2"/>
                <w:sz w:val="28"/>
                <w:szCs w:val="28"/>
              </w:rPr>
              <w:lastRenderedPageBreak/>
              <w:t>Безопасность</w:t>
            </w:r>
          </w:p>
        </w:tc>
        <w:tc>
          <w:tcPr>
            <w:tcW w:w="1708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повышение эффективности работы антитеррористических служб;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повышение эффективности работы участковых уполномоченных полиции;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повышение эффективности работы по ранней профилактике бродяжничества и попрошайничества несовершеннолетних;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совершенствование организации работы патрульно-посто</w:t>
            </w:r>
            <w:r w:rsidRPr="000B1E54">
              <w:rPr>
                <w:sz w:val="28"/>
                <w:szCs w:val="28"/>
              </w:rPr>
              <w:softHyphen/>
              <w:t>вых служб полиции в борьбе с преступностью в общественных местах и на улице;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повышение качества административных протоколов, обеспечение соблюдения законности при выявлении, документировании и рассмотрении материалов административного производства</w:t>
            </w:r>
          </w:p>
        </w:tc>
        <w:tc>
          <w:tcPr>
            <w:tcW w:w="2531" w:type="pct"/>
            <w:tcBorders>
              <w:top w:val="double" w:sz="4" w:space="0" w:color="00B050"/>
              <w:left w:val="double" w:sz="4" w:space="0" w:color="00B050"/>
              <w:bottom w:val="double" w:sz="4" w:space="0" w:color="00B050"/>
              <w:right w:val="double" w:sz="4" w:space="0" w:color="00B050"/>
            </w:tcBorders>
          </w:tcPr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снижение уровня преступности;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  <w:r w:rsidRPr="000B1E54">
              <w:rPr>
                <w:sz w:val="28"/>
                <w:szCs w:val="28"/>
              </w:rPr>
              <w:t>повышение качества работы правоохранительных органов.</w:t>
            </w: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</w:p>
          <w:p w:rsidR="0078444C" w:rsidRPr="000B1E54" w:rsidRDefault="0078444C" w:rsidP="00B56216">
            <w:pPr>
              <w:pStyle w:val="1"/>
              <w:jc w:val="both"/>
              <w:rPr>
                <w:sz w:val="28"/>
                <w:szCs w:val="28"/>
              </w:rPr>
            </w:pPr>
          </w:p>
        </w:tc>
      </w:tr>
    </w:tbl>
    <w:p w:rsidR="0078444C" w:rsidRPr="000B1E54" w:rsidRDefault="0078444C" w:rsidP="0078444C">
      <w:pPr>
        <w:pStyle w:val="1"/>
        <w:ind w:firstLine="708"/>
        <w:jc w:val="both"/>
        <w:rPr>
          <w:sz w:val="28"/>
          <w:szCs w:val="28"/>
        </w:rPr>
      </w:pPr>
    </w:p>
    <w:p w:rsidR="0078444C" w:rsidRPr="000B1E54" w:rsidRDefault="0078444C" w:rsidP="0078444C">
      <w:pPr>
        <w:pStyle w:val="1"/>
        <w:ind w:firstLine="708"/>
        <w:jc w:val="both"/>
        <w:rPr>
          <w:sz w:val="28"/>
          <w:szCs w:val="28"/>
        </w:rPr>
      </w:pPr>
    </w:p>
    <w:p w:rsidR="0078444C" w:rsidRPr="000B1E54" w:rsidRDefault="0078444C" w:rsidP="0078444C">
      <w:pPr>
        <w:pStyle w:val="1"/>
        <w:ind w:firstLine="708"/>
        <w:jc w:val="both"/>
        <w:rPr>
          <w:sz w:val="28"/>
          <w:szCs w:val="28"/>
        </w:rPr>
      </w:pPr>
    </w:p>
    <w:p w:rsidR="0078444C" w:rsidRPr="000B1E54" w:rsidRDefault="0078444C" w:rsidP="0078444C">
      <w:pPr>
        <w:pStyle w:val="1"/>
        <w:ind w:firstLine="708"/>
        <w:jc w:val="both"/>
        <w:rPr>
          <w:sz w:val="28"/>
          <w:szCs w:val="28"/>
        </w:rPr>
      </w:pPr>
    </w:p>
    <w:p w:rsidR="0078444C" w:rsidRDefault="009444AB" w:rsidP="009444AB">
      <w:pPr>
        <w:pStyle w:val="1"/>
        <w:tabs>
          <w:tab w:val="left" w:pos="234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9444AB" w:rsidRPr="000B1E54" w:rsidRDefault="009444AB" w:rsidP="009444AB">
      <w:pPr>
        <w:pStyle w:val="1"/>
        <w:tabs>
          <w:tab w:val="left" w:pos="2340"/>
          <w:tab w:val="left" w:pos="11265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Мясниковского района </w:t>
      </w:r>
      <w:r>
        <w:rPr>
          <w:sz w:val="28"/>
          <w:szCs w:val="28"/>
        </w:rPr>
        <w:tab/>
        <w:t xml:space="preserve">Д.К. Кечеджиян </w:t>
      </w:r>
    </w:p>
    <w:p w:rsidR="0078444C" w:rsidRPr="000B1E54" w:rsidRDefault="0078444C" w:rsidP="009444AB">
      <w:pPr>
        <w:pStyle w:val="1"/>
        <w:jc w:val="both"/>
        <w:rPr>
          <w:sz w:val="28"/>
          <w:szCs w:val="28"/>
        </w:rPr>
        <w:sectPr w:rsidR="0078444C" w:rsidRPr="000B1E54" w:rsidSect="00157889">
          <w:footerReference w:type="first" r:id="rId7"/>
          <w:footnotePr>
            <w:numRestart w:val="eachPage"/>
          </w:footnotePr>
          <w:pgSz w:w="16838" w:h="11906" w:orient="landscape"/>
          <w:pgMar w:top="851" w:right="2155" w:bottom="1701" w:left="1134" w:header="170" w:footer="0" w:gutter="0"/>
          <w:cols w:space="708"/>
          <w:titlePg/>
          <w:docGrid w:linePitch="360"/>
        </w:sectPr>
      </w:pPr>
    </w:p>
    <w:p w:rsidR="00B405BD" w:rsidRDefault="00B405BD" w:rsidP="009444AB">
      <w:pPr>
        <w:spacing w:before="240" w:after="240" w:line="240" w:lineRule="auto"/>
        <w:jc w:val="both"/>
        <w:rPr>
          <w:sz w:val="28"/>
          <w:szCs w:val="28"/>
        </w:rPr>
      </w:pPr>
    </w:p>
    <w:sectPr w:rsidR="00B405BD" w:rsidSect="00F14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B2B" w:rsidRDefault="00EF5B2B" w:rsidP="0078444C">
      <w:pPr>
        <w:spacing w:after="0" w:line="240" w:lineRule="auto"/>
      </w:pPr>
      <w:r>
        <w:separator/>
      </w:r>
    </w:p>
  </w:endnote>
  <w:endnote w:type="continuationSeparator" w:id="1">
    <w:p w:rsidR="00EF5B2B" w:rsidRDefault="00EF5B2B" w:rsidP="00784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8329"/>
      <w:docPartObj>
        <w:docPartGallery w:val="Page Numbers (Bottom of Page)"/>
        <w:docPartUnique/>
      </w:docPartObj>
    </w:sdtPr>
    <w:sdtContent>
      <w:p w:rsidR="00C93A4B" w:rsidRDefault="00C93A4B">
        <w:pPr>
          <w:pStyle w:val="ab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93A4B" w:rsidRDefault="00C93A4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B2B" w:rsidRDefault="00EF5B2B" w:rsidP="0078444C">
      <w:pPr>
        <w:spacing w:after="0" w:line="240" w:lineRule="auto"/>
      </w:pPr>
      <w:r>
        <w:separator/>
      </w:r>
    </w:p>
  </w:footnote>
  <w:footnote w:type="continuationSeparator" w:id="1">
    <w:p w:rsidR="00EF5B2B" w:rsidRDefault="00EF5B2B" w:rsidP="0078444C">
      <w:pPr>
        <w:spacing w:after="0" w:line="240" w:lineRule="auto"/>
      </w:pPr>
      <w:r>
        <w:continuationSeparator/>
      </w:r>
    </w:p>
  </w:footnote>
  <w:footnote w:id="2">
    <w:p w:rsidR="0078444C" w:rsidRDefault="0078444C" w:rsidP="0078444C">
      <w:pPr>
        <w:pStyle w:val="a4"/>
      </w:pPr>
      <w:r w:rsidRPr="00757A49">
        <w:rPr>
          <w:rStyle w:val="a3"/>
          <w:sz w:val="20"/>
          <w:szCs w:val="20"/>
        </w:rPr>
        <w:footnoteRef/>
      </w:r>
      <w:r w:rsidRPr="00757A49">
        <w:rPr>
          <w:sz w:val="20"/>
          <w:szCs w:val="20"/>
        </w:rPr>
        <w:t xml:space="preserve"> Кластер – это группа географически соседствующих взаимосвязанных компаний (поставщики, производители и др.) и связанных с ними организаций (образовательные заведения, органы государственного управления, инфраструктурные компании), действующих в определенной сфере и совместно обеспечивающих территориальную конкурентоспособность.</w:t>
      </w:r>
    </w:p>
  </w:footnote>
  <w:footnote w:id="3">
    <w:p w:rsidR="0078444C" w:rsidRDefault="0078444C" w:rsidP="0078444C">
      <w:pPr>
        <w:pStyle w:val="a4"/>
        <w:ind w:right="-1619"/>
      </w:pPr>
      <w:r w:rsidRPr="00757A49">
        <w:rPr>
          <w:rStyle w:val="a3"/>
          <w:sz w:val="20"/>
          <w:szCs w:val="20"/>
        </w:rPr>
        <w:footnoteRef/>
      </w:r>
      <w:r w:rsidRPr="00757A49">
        <w:rPr>
          <w:sz w:val="20"/>
          <w:szCs w:val="20"/>
        </w:rPr>
        <w:t xml:space="preserve"> Крайне важна комплексность предоставления услуг логистическими компаниями: международные и внутрироссийские ж/д, авто- и авиаперевозки, мультимодальные перевозки, таможенное оформление, складское хранение, дистрибуция грузов, страхование грузов. </w:t>
      </w:r>
    </w:p>
  </w:footnote>
  <w:footnote w:id="4">
    <w:p w:rsidR="0078444C" w:rsidRPr="00757A49" w:rsidRDefault="0078444C" w:rsidP="0078444C">
      <w:pPr>
        <w:pStyle w:val="a4"/>
        <w:ind w:right="-1619"/>
        <w:rPr>
          <w:sz w:val="20"/>
          <w:szCs w:val="20"/>
        </w:rPr>
      </w:pPr>
      <w:r w:rsidRPr="00757A49">
        <w:rPr>
          <w:rStyle w:val="a3"/>
          <w:sz w:val="20"/>
          <w:szCs w:val="20"/>
        </w:rPr>
        <w:footnoteRef/>
      </w:r>
      <w:r w:rsidRPr="00757A49">
        <w:rPr>
          <w:sz w:val="20"/>
          <w:szCs w:val="20"/>
        </w:rPr>
        <w:t xml:space="preserve"> Логистические центры (парки) — предприятия, осуществляющие координацию логистического (складского и транспортного) обслуживания и информационного обеспечения, а также их контроль. Логистические центры в зависимости от выполняемых задач и функций делятся на следующие категории:</w:t>
      </w:r>
    </w:p>
    <w:p w:rsidR="0078444C" w:rsidRPr="00757A49" w:rsidRDefault="0078444C" w:rsidP="0078444C">
      <w:pPr>
        <w:pStyle w:val="a4"/>
        <w:ind w:right="-1619"/>
        <w:rPr>
          <w:sz w:val="20"/>
          <w:szCs w:val="20"/>
        </w:rPr>
      </w:pPr>
      <w:r w:rsidRPr="00757A49">
        <w:rPr>
          <w:sz w:val="20"/>
          <w:szCs w:val="20"/>
        </w:rPr>
        <w:t>международные логистические центры распределения (радиус действия 500-800 км, территория 100-150 га, полностью развитая инфраструктура, полностью развитая информационная система, полный комплекс логистических услуг);</w:t>
      </w:r>
    </w:p>
    <w:p w:rsidR="0078444C" w:rsidRPr="00757A49" w:rsidRDefault="0078444C" w:rsidP="0078444C">
      <w:pPr>
        <w:pStyle w:val="a4"/>
        <w:ind w:right="-1619"/>
        <w:rPr>
          <w:sz w:val="20"/>
          <w:szCs w:val="20"/>
        </w:rPr>
      </w:pPr>
      <w:r w:rsidRPr="00757A49">
        <w:rPr>
          <w:sz w:val="20"/>
          <w:szCs w:val="20"/>
        </w:rPr>
        <w:t>региональные логистические центры распределения (радиус действия 50-80 км, территория 20-50 га, развитая инфраструктура, информационная система, оказание определенных выбранных логистических услуг);</w:t>
      </w:r>
    </w:p>
    <w:p w:rsidR="0078444C" w:rsidRPr="00055018" w:rsidRDefault="0078444C" w:rsidP="0078444C">
      <w:pPr>
        <w:pStyle w:val="a4"/>
        <w:ind w:right="-1619"/>
        <w:rPr>
          <w:rFonts w:ascii="Times New Roman" w:hAnsi="Times New Roman" w:cs="Times New Roman"/>
          <w:sz w:val="24"/>
          <w:szCs w:val="24"/>
        </w:rPr>
      </w:pPr>
      <w:r w:rsidRPr="00055018">
        <w:rPr>
          <w:rFonts w:ascii="Times New Roman" w:hAnsi="Times New Roman" w:cs="Times New Roman"/>
          <w:sz w:val="24"/>
          <w:szCs w:val="24"/>
        </w:rPr>
        <w:t>локальные логистические центры распределения (радиус</w:t>
      </w:r>
      <w:r>
        <w:rPr>
          <w:rFonts w:ascii="Times New Roman" w:hAnsi="Times New Roman" w:cs="Times New Roman"/>
          <w:sz w:val="24"/>
          <w:szCs w:val="24"/>
        </w:rPr>
        <w:t xml:space="preserve"> действия 50-80 км, территория 2-</w:t>
      </w:r>
      <w:r w:rsidRPr="00055018">
        <w:rPr>
          <w:rFonts w:ascii="Times New Roman" w:hAnsi="Times New Roman" w:cs="Times New Roman"/>
          <w:sz w:val="24"/>
          <w:szCs w:val="24"/>
        </w:rPr>
        <w:t>10 га, ограниченная инфраструктура, ограниченный сервис в области логистики);</w:t>
      </w:r>
    </w:p>
    <w:p w:rsidR="0078444C" w:rsidRPr="00055018" w:rsidRDefault="0078444C" w:rsidP="0078444C">
      <w:pPr>
        <w:pStyle w:val="a4"/>
        <w:ind w:right="-1619"/>
        <w:rPr>
          <w:rFonts w:ascii="Times New Roman" w:hAnsi="Times New Roman" w:cs="Times New Roman"/>
          <w:sz w:val="24"/>
          <w:szCs w:val="24"/>
        </w:rPr>
      </w:pPr>
      <w:r w:rsidRPr="00055018">
        <w:rPr>
          <w:rFonts w:ascii="Times New Roman" w:hAnsi="Times New Roman" w:cs="Times New Roman"/>
          <w:sz w:val="24"/>
          <w:szCs w:val="24"/>
        </w:rPr>
        <w:t>логистические торгово-распределительные центры (радиус действия, зависящий от размера сети, размеры территории, зависящие от решаемых задач, типовая инфраструктура, профилированный набор услуг, информационная система, рассчитанная на потребителя).</w:t>
      </w:r>
    </w:p>
    <w:p w:rsidR="0078444C" w:rsidRDefault="0078444C" w:rsidP="0078444C">
      <w:pPr>
        <w:pStyle w:val="a4"/>
        <w:ind w:right="-161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E2A72"/>
    <w:multiLevelType w:val="hybridMultilevel"/>
    <w:tmpl w:val="AA424664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A838C2"/>
    <w:multiLevelType w:val="multilevel"/>
    <w:tmpl w:val="BF163B38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">
    <w:nsid w:val="5A6B10F0"/>
    <w:multiLevelType w:val="hybridMultilevel"/>
    <w:tmpl w:val="695EAE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78444C"/>
    <w:rsid w:val="003763CA"/>
    <w:rsid w:val="00402633"/>
    <w:rsid w:val="004064AF"/>
    <w:rsid w:val="00517C4A"/>
    <w:rsid w:val="00634F82"/>
    <w:rsid w:val="00675AF2"/>
    <w:rsid w:val="006E425F"/>
    <w:rsid w:val="007244D7"/>
    <w:rsid w:val="0078444C"/>
    <w:rsid w:val="00795F7F"/>
    <w:rsid w:val="007D5E6F"/>
    <w:rsid w:val="007E643F"/>
    <w:rsid w:val="008643B8"/>
    <w:rsid w:val="0088103B"/>
    <w:rsid w:val="008E732F"/>
    <w:rsid w:val="00940AD1"/>
    <w:rsid w:val="009444AB"/>
    <w:rsid w:val="009E1D93"/>
    <w:rsid w:val="00A06CA0"/>
    <w:rsid w:val="00B405BD"/>
    <w:rsid w:val="00C54962"/>
    <w:rsid w:val="00C7586D"/>
    <w:rsid w:val="00C93A4B"/>
    <w:rsid w:val="00CD131E"/>
    <w:rsid w:val="00CF31E5"/>
    <w:rsid w:val="00E5079A"/>
    <w:rsid w:val="00EF5B2B"/>
    <w:rsid w:val="00F02D4B"/>
    <w:rsid w:val="00F1436D"/>
    <w:rsid w:val="00FB01AB"/>
    <w:rsid w:val="00FB3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8444C"/>
    <w:pPr>
      <w:widowControl w:val="0"/>
      <w:suppressAutoHyphens/>
      <w:spacing w:after="0" w:line="240" w:lineRule="auto"/>
    </w:pPr>
    <w:rPr>
      <w:rFonts w:ascii="Garamond" w:eastAsia="Times New Roman" w:hAnsi="Garamond" w:cs="Times New Roman"/>
      <w:sz w:val="24"/>
      <w:szCs w:val="24"/>
      <w:lang w:eastAsia="ar-SA"/>
    </w:rPr>
  </w:style>
  <w:style w:type="character" w:customStyle="1" w:styleId="NoSpacingChar">
    <w:name w:val="No Spacing Char"/>
    <w:basedOn w:val="a0"/>
    <w:link w:val="1"/>
    <w:locked/>
    <w:rsid w:val="0078444C"/>
    <w:rPr>
      <w:rFonts w:ascii="Garamond" w:eastAsia="Times New Roman" w:hAnsi="Garamond" w:cs="Times New Roman"/>
      <w:sz w:val="24"/>
      <w:szCs w:val="24"/>
      <w:lang w:eastAsia="ar-SA"/>
    </w:rPr>
  </w:style>
  <w:style w:type="paragraph" w:customStyle="1" w:styleId="10">
    <w:name w:val="Абзац списка1"/>
    <w:basedOn w:val="a"/>
    <w:rsid w:val="0078444C"/>
    <w:pPr>
      <w:ind w:left="720"/>
    </w:pPr>
    <w:rPr>
      <w:rFonts w:ascii="Calibri" w:eastAsia="Times New Roman" w:hAnsi="Calibri" w:cs="Calibri"/>
      <w:lang w:eastAsia="en-US"/>
    </w:rPr>
  </w:style>
  <w:style w:type="character" w:styleId="a3">
    <w:name w:val="footnote reference"/>
    <w:aliases w:val="Знак сноски 1,Знак сноски-FN,Ciae niinee-FN,Referencia nota al pie"/>
    <w:basedOn w:val="a0"/>
    <w:semiHidden/>
    <w:rsid w:val="0078444C"/>
    <w:rPr>
      <w:rFonts w:ascii="Verdana" w:hAnsi="Verdana" w:cs="Verdana"/>
      <w:sz w:val="18"/>
      <w:szCs w:val="18"/>
      <w:vertAlign w:val="superscript"/>
    </w:rPr>
  </w:style>
  <w:style w:type="paragraph" w:styleId="a4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5"/>
    <w:semiHidden/>
    <w:rsid w:val="0078444C"/>
    <w:pPr>
      <w:spacing w:after="0" w:line="240" w:lineRule="auto"/>
    </w:pPr>
    <w:rPr>
      <w:rFonts w:ascii="Verdana" w:eastAsia="Times New Roman" w:hAnsi="Verdana" w:cs="Verdana"/>
      <w:sz w:val="18"/>
      <w:szCs w:val="18"/>
    </w:rPr>
  </w:style>
  <w:style w:type="character" w:customStyle="1" w:styleId="a5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4"/>
    <w:semiHidden/>
    <w:rsid w:val="0078444C"/>
    <w:rPr>
      <w:rFonts w:ascii="Verdana" w:eastAsia="Times New Roman" w:hAnsi="Verdana" w:cs="Verdana"/>
      <w:sz w:val="18"/>
      <w:szCs w:val="18"/>
    </w:rPr>
  </w:style>
  <w:style w:type="paragraph" w:customStyle="1" w:styleId="a6">
    <w:name w:val="Таблица"/>
    <w:basedOn w:val="a"/>
    <w:rsid w:val="0078444C"/>
    <w:pPr>
      <w:widowControl w:val="0"/>
      <w:spacing w:after="0" w:line="264" w:lineRule="auto"/>
      <w:jc w:val="both"/>
    </w:pPr>
    <w:rPr>
      <w:rFonts w:ascii="Garamond" w:eastAsia="Calibri" w:hAnsi="Garamond" w:cs="Garamond"/>
      <w:lang w:eastAsia="en-US"/>
    </w:rPr>
  </w:style>
  <w:style w:type="paragraph" w:customStyle="1" w:styleId="20">
    <w:name w:val="Стиль Стиль Основной текст с отступом 2 + По ширине Слева:  0 см Ме..."/>
    <w:basedOn w:val="a"/>
    <w:link w:val="200"/>
    <w:rsid w:val="0078444C"/>
    <w:pPr>
      <w:spacing w:after="120" w:line="360" w:lineRule="auto"/>
      <w:jc w:val="both"/>
    </w:pPr>
    <w:rPr>
      <w:rFonts w:ascii="Verdana" w:eastAsia="Calibri" w:hAnsi="Verdana" w:cs="Times New Roman"/>
      <w:b/>
      <w:sz w:val="20"/>
      <w:szCs w:val="20"/>
    </w:rPr>
  </w:style>
  <w:style w:type="character" w:customStyle="1" w:styleId="200">
    <w:name w:val="Стиль Стиль Основной текст с отступом 2 + По ширине Слева:  0 см Ме... Знак"/>
    <w:link w:val="20"/>
    <w:locked/>
    <w:rsid w:val="0078444C"/>
    <w:rPr>
      <w:rFonts w:ascii="Verdana" w:eastAsia="Calibri" w:hAnsi="Verdana" w:cs="Times New Roman"/>
      <w:b/>
      <w:sz w:val="20"/>
      <w:szCs w:val="20"/>
    </w:rPr>
  </w:style>
  <w:style w:type="character" w:customStyle="1" w:styleId="FontStyle15">
    <w:name w:val="Font Style15"/>
    <w:rsid w:val="0078444C"/>
    <w:rPr>
      <w:rFonts w:ascii="Calibri" w:hAnsi="Calibri"/>
      <w:sz w:val="22"/>
    </w:rPr>
  </w:style>
  <w:style w:type="table" w:styleId="a7">
    <w:name w:val="Table Grid"/>
    <w:basedOn w:val="a1"/>
    <w:uiPriority w:val="59"/>
    <w:rsid w:val="00675AF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F31E5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C9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93A4B"/>
  </w:style>
  <w:style w:type="paragraph" w:styleId="ab">
    <w:name w:val="footer"/>
    <w:basedOn w:val="a"/>
    <w:link w:val="ac"/>
    <w:uiPriority w:val="99"/>
    <w:unhideWhenUsed/>
    <w:rsid w:val="00C9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93A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2691</Words>
  <Characters>15343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Админ</cp:lastModifiedBy>
  <cp:revision>15</cp:revision>
  <cp:lastPrinted>2014-06-18T13:15:00Z</cp:lastPrinted>
  <dcterms:created xsi:type="dcterms:W3CDTF">2014-06-04T14:25:00Z</dcterms:created>
  <dcterms:modified xsi:type="dcterms:W3CDTF">2014-06-18T13:17:00Z</dcterms:modified>
</cp:coreProperties>
</file>